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C2A2A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02F20D7D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10A4FEFF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0222440A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717858ED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四川省成都市地方标准</w:t>
      </w:r>
    </w:p>
    <w:p w14:paraId="11F1C0CF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《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地理标志产品 蒲江米花糖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》</w:t>
      </w:r>
    </w:p>
    <w:p w14:paraId="4544A23F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编制说明</w:t>
      </w:r>
    </w:p>
    <w:p w14:paraId="6C170327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05AE74B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68E2549B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79FD004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5B7AA64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3929AEC4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5D4FA6AE">
      <w:pPr>
        <w:jc w:val="center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《地理标志产品 蒲江米花糖》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标准起草组</w:t>
      </w:r>
    </w:p>
    <w:p w14:paraId="6F3F797E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2025年X月X日</w:t>
      </w:r>
    </w:p>
    <w:p w14:paraId="51BC2C65">
      <w:pPr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br w:type="page"/>
      </w:r>
    </w:p>
    <w:p w14:paraId="0C99612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修订标准的目的和意义</w:t>
      </w:r>
    </w:p>
    <w:p w14:paraId="76BD19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蒲江米花糖历史悠久，以其色泽洁白、香甜酥脆、爽口化渣、食后有稻谷清香余味等特点，深受人民大众喜爱，是中国四川蒲江地区的特产，荣获国家地理标志保护产品。然而，随着市场环境变化、产业升级需求以及政策法规的更新，且原有的地方标准未完全遵循《地理标志产品保护办法》（国家质检总局令第80号）第18条关于"标准不得改变保护要求中认定的名称、产品类型、产地范围、质量特色等强制性规定。"的强制性要求，因此有必要对DB5101/T 21—2019《地理标志产品 蒲江米花糖》中部分内容进行修订，确保标准与上级法律法规要求的衔接，固化传统工艺，防止技艺流失，保护并提升产品价值。</w:t>
      </w:r>
    </w:p>
    <w:p w14:paraId="246B9CC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任务来源</w:t>
      </w:r>
    </w:p>
    <w:p w14:paraId="2A37824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2024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年，为确保与新出台法律法规要求的一致性，增强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标准的实用性，浦江县市场监督管理局提出《地理标志产品 蒲江米花糖》的修订申请。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2024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年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24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日，成都市市场监督管理局发布《关于下达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2024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年度地方标准制修订项目立项计划的通知》（成市监办〔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2024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〕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140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号）。</w:t>
      </w:r>
    </w:p>
    <w:p w14:paraId="0B8D3E6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工作简况</w:t>
      </w:r>
    </w:p>
    <w:p w14:paraId="26E654F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成立起草组</w:t>
      </w:r>
    </w:p>
    <w:p w14:paraId="5CBC9F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2025年4月中旬，标准正式立项后，浦江县市场监督管理局、成都市标准化研究院组织人员成立《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地理标志产品 蒲江米花糖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》标准编制起草组，明确共同修订标准的有关事项，并对整个标准修订工作进行总体部署。</w:t>
      </w:r>
    </w:p>
    <w:p w14:paraId="29E7AA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起草人任务分工见表 1。</w:t>
      </w:r>
    </w:p>
    <w:p w14:paraId="72E765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28"/>
          <w:szCs w:val="28"/>
          <w:lang w:val="en-US" w:eastAsia="zh-CN"/>
        </w:rPr>
        <w:t>表1标准主要起草人任务分工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434"/>
        <w:gridCol w:w="2109"/>
        <w:gridCol w:w="1420"/>
        <w:gridCol w:w="1420"/>
        <w:gridCol w:w="1422"/>
      </w:tblGrid>
      <w:tr w14:paraId="28051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4" w:type="dxa"/>
            <w:shd w:val="clear" w:color="auto" w:fill="auto"/>
            <w:noWrap w:val="0"/>
            <w:vAlign w:val="center"/>
          </w:tcPr>
          <w:p w14:paraId="5B0D03D9">
            <w:pPr>
              <w:pStyle w:val="8"/>
              <w:ind w:firstLine="0" w:firstLineChars="0"/>
              <w:jc w:val="center"/>
              <w:outlineLvl w:val="9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34" w:type="dxa"/>
            <w:shd w:val="clear" w:color="auto" w:fill="auto"/>
            <w:noWrap w:val="0"/>
            <w:vAlign w:val="center"/>
          </w:tcPr>
          <w:p w14:paraId="70712DE3">
            <w:pPr>
              <w:pStyle w:val="8"/>
              <w:ind w:firstLine="0" w:firstLineChars="0"/>
              <w:jc w:val="center"/>
              <w:outlineLvl w:val="9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2109" w:type="dxa"/>
            <w:shd w:val="clear" w:color="auto" w:fill="auto"/>
            <w:noWrap w:val="0"/>
            <w:vAlign w:val="center"/>
          </w:tcPr>
          <w:p w14:paraId="4AF2E57E">
            <w:pPr>
              <w:pStyle w:val="8"/>
              <w:ind w:firstLine="0" w:firstLineChars="0"/>
              <w:jc w:val="center"/>
              <w:outlineLvl w:val="9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420" w:type="dxa"/>
            <w:shd w:val="clear" w:color="auto" w:fill="auto"/>
            <w:noWrap w:val="0"/>
            <w:vAlign w:val="center"/>
          </w:tcPr>
          <w:p w14:paraId="563F0C83">
            <w:pPr>
              <w:pStyle w:val="8"/>
              <w:ind w:firstLine="0" w:firstLineChars="0"/>
              <w:jc w:val="center"/>
              <w:outlineLvl w:val="9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职务/职称</w:t>
            </w:r>
          </w:p>
        </w:tc>
        <w:tc>
          <w:tcPr>
            <w:tcW w:w="1420" w:type="dxa"/>
            <w:shd w:val="clear" w:color="auto" w:fill="auto"/>
            <w:noWrap w:val="0"/>
            <w:vAlign w:val="center"/>
          </w:tcPr>
          <w:p w14:paraId="3F5302A9">
            <w:pPr>
              <w:pStyle w:val="8"/>
              <w:ind w:firstLine="0" w:firstLineChars="0"/>
              <w:jc w:val="center"/>
              <w:outlineLvl w:val="9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1422" w:type="dxa"/>
            <w:shd w:val="clear" w:color="auto" w:fill="auto"/>
            <w:noWrap w:val="0"/>
            <w:vAlign w:val="center"/>
          </w:tcPr>
          <w:p w14:paraId="3FB58AA5">
            <w:pPr>
              <w:pStyle w:val="8"/>
              <w:ind w:firstLine="0" w:firstLineChars="0"/>
              <w:jc w:val="center"/>
              <w:outlineLvl w:val="9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任务分工</w:t>
            </w:r>
          </w:p>
        </w:tc>
      </w:tr>
      <w:tr w14:paraId="32CDA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4" w:type="dxa"/>
            <w:shd w:val="clear" w:color="auto" w:fill="auto"/>
            <w:noWrap w:val="0"/>
            <w:vAlign w:val="center"/>
          </w:tcPr>
          <w:p w14:paraId="3BF6EB78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4" w:type="dxa"/>
            <w:shd w:val="clear" w:color="auto" w:fill="auto"/>
            <w:noWrap w:val="0"/>
            <w:vAlign w:val="center"/>
          </w:tcPr>
          <w:p w14:paraId="62CDA045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09" w:type="dxa"/>
            <w:shd w:val="clear" w:color="auto" w:fill="auto"/>
            <w:noWrap w:val="0"/>
            <w:vAlign w:val="center"/>
          </w:tcPr>
          <w:p w14:paraId="48D67F37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shd w:val="clear" w:color="auto" w:fill="auto"/>
            <w:noWrap w:val="0"/>
            <w:vAlign w:val="center"/>
          </w:tcPr>
          <w:p w14:paraId="75A991F1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shd w:val="clear" w:color="auto" w:fill="auto"/>
            <w:noWrap w:val="0"/>
            <w:vAlign w:val="center"/>
          </w:tcPr>
          <w:p w14:paraId="28D1C4B8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2" w:type="dxa"/>
            <w:shd w:val="clear" w:color="auto" w:fill="auto"/>
            <w:noWrap w:val="0"/>
            <w:vAlign w:val="center"/>
          </w:tcPr>
          <w:p w14:paraId="50C2D3FD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BC1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4" w:type="dxa"/>
            <w:shd w:val="clear" w:color="auto" w:fill="auto"/>
            <w:noWrap w:val="0"/>
            <w:vAlign w:val="center"/>
          </w:tcPr>
          <w:p w14:paraId="4195CA64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4" w:type="dxa"/>
            <w:shd w:val="clear" w:color="auto" w:fill="auto"/>
            <w:noWrap w:val="0"/>
            <w:vAlign w:val="center"/>
          </w:tcPr>
          <w:p w14:paraId="4BEB1AF6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09" w:type="dxa"/>
            <w:shd w:val="clear" w:color="auto" w:fill="auto"/>
            <w:noWrap w:val="0"/>
            <w:vAlign w:val="center"/>
          </w:tcPr>
          <w:p w14:paraId="00575D18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shd w:val="clear" w:color="auto" w:fill="auto"/>
            <w:noWrap w:val="0"/>
            <w:vAlign w:val="center"/>
          </w:tcPr>
          <w:p w14:paraId="53AA0CA8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shd w:val="clear" w:color="auto" w:fill="auto"/>
            <w:noWrap w:val="0"/>
            <w:vAlign w:val="center"/>
          </w:tcPr>
          <w:p w14:paraId="10DE1175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2" w:type="dxa"/>
            <w:shd w:val="clear" w:color="auto" w:fill="auto"/>
            <w:noWrap w:val="0"/>
            <w:vAlign w:val="center"/>
          </w:tcPr>
          <w:p w14:paraId="6296F33E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5C92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4" w:type="dxa"/>
            <w:shd w:val="clear" w:color="auto" w:fill="auto"/>
            <w:noWrap w:val="0"/>
            <w:vAlign w:val="center"/>
          </w:tcPr>
          <w:p w14:paraId="6D0F7227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4" w:type="dxa"/>
            <w:shd w:val="clear" w:color="auto" w:fill="auto"/>
            <w:noWrap w:val="0"/>
            <w:vAlign w:val="center"/>
          </w:tcPr>
          <w:p w14:paraId="4F416929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09" w:type="dxa"/>
            <w:shd w:val="clear" w:color="auto" w:fill="auto"/>
            <w:noWrap w:val="0"/>
            <w:vAlign w:val="center"/>
          </w:tcPr>
          <w:p w14:paraId="51FF0267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shd w:val="clear" w:color="auto" w:fill="auto"/>
            <w:noWrap w:val="0"/>
            <w:vAlign w:val="center"/>
          </w:tcPr>
          <w:p w14:paraId="49171654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shd w:val="clear" w:color="auto" w:fill="auto"/>
            <w:noWrap w:val="0"/>
            <w:vAlign w:val="center"/>
          </w:tcPr>
          <w:p w14:paraId="60BB0D0F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2" w:type="dxa"/>
            <w:shd w:val="clear" w:color="auto" w:fill="auto"/>
            <w:noWrap w:val="0"/>
            <w:vAlign w:val="center"/>
          </w:tcPr>
          <w:p w14:paraId="2565A911">
            <w:pPr>
              <w:pStyle w:val="8"/>
              <w:spacing w:line="240" w:lineRule="exact"/>
              <w:ind w:firstLine="360"/>
              <w:jc w:val="center"/>
              <w:outlineLvl w:val="9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759AF0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资料收集与调研</w:t>
      </w:r>
    </w:p>
    <w:p w14:paraId="6D0F45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查阅历史文献，梳理蒲江米花糖的发展历程及传统工艺特点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对比分析现有糕点类国家标准（如GB/T 20977《糕点通则》）及行业标准，确定蒲江米花糖的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特性，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对蒲江县内米花糖生产企业进行实地调研，收集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整理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生产工艺、原料选用、质量控制等数据。</w:t>
      </w:r>
    </w:p>
    <w:p w14:paraId="7E070D7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标准起草及研讨</w:t>
      </w:r>
    </w:p>
    <w:p w14:paraId="1DEBFA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2025年4月至5月，起草组编制标准框架、明确标准提纲，确定了标准主要框架为术语和定义、产地范围、原料要求、生产加工要求、质量特色、检验方法、检验规则、标志、包装、运输及贮存，并按照 GB/T 1.1—2020《标准化工作导则 第 1 部分：标准化文件的结构和起草规则》的规定，编写形成了《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地理标志产品 蒲江米花糖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》起草组讨论稿。</w:t>
      </w:r>
    </w:p>
    <w:p w14:paraId="3DA99A4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编制原则和依据</w:t>
      </w:r>
    </w:p>
    <w:p w14:paraId="72B4ABD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修订标准的原则</w:t>
      </w:r>
    </w:p>
    <w:p w14:paraId="3AD8AC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本标准的编制工作遵循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一致性、协调性、易用性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的原则，在充分体现科学性、合理性和适用性的前提下，按照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GB/T 1.1-2020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《标准化工作导则第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1 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部分：标准化文件的结构和起草规则》以及</w:t>
      </w: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《地理标志产品保护规定》（国家质检总局令第78号）的要求进行修订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 w14:paraId="7BF3E41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修订标准的依据</w:t>
      </w:r>
    </w:p>
    <w:p w14:paraId="22D61D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outlineLvl w:val="9"/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本文件制定过程中所依据的技术性文件如下：</w:t>
      </w:r>
    </w:p>
    <w:p w14:paraId="395401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《中华人民共和国标准化法》</w:t>
      </w:r>
    </w:p>
    <w:p w14:paraId="4A1D2C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《中华人民共和国食品安全法》</w:t>
      </w:r>
    </w:p>
    <w:p w14:paraId="7F21E1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《地理标志产品保护办法》（国家质检总局令第80号）</w:t>
      </w:r>
    </w:p>
    <w:p w14:paraId="3CA955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《地理标志专用标志使用管理办法（试行）》（国家知识产权局公告第354号）</w:t>
      </w:r>
    </w:p>
    <w:p w14:paraId="1629EE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《质检总局关于批准对隆化大米等产品实施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地理标志产品保护的公告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》（2013 年第 184 号）</w:t>
      </w:r>
    </w:p>
    <w:p w14:paraId="25011D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GB/T 191  包装储运图示标志</w:t>
      </w:r>
    </w:p>
    <w:p w14:paraId="51C400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 4789.1  食品安全国家标准 食品微生物学检验  总则</w:t>
      </w:r>
    </w:p>
    <w:p w14:paraId="67600E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 4789.2  食品安全国家标准 食品微生物学检验  菌落总数测定</w:t>
      </w:r>
    </w:p>
    <w:p w14:paraId="6B1502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 4789.3  食品安全国家标准 食品微生物学检验  大肠菌群计数</w:t>
      </w:r>
    </w:p>
    <w:p w14:paraId="201078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 4789.4  食品安全国家标准 食品微生物学检验  沙门氏菌检验</w:t>
      </w:r>
    </w:p>
    <w:p w14:paraId="32F067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 4789.10  食品安全国家标准 食品微生物学检验  金黄色葡萄球菌检验</w:t>
      </w:r>
    </w:p>
    <w:p w14:paraId="4BACFC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 5009.3  食品安全国家标准  食品中水分的测定</w:t>
      </w:r>
    </w:p>
    <w:p w14:paraId="467060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 5009.6  食品安全国家标准  食品中脂肪的测定</w:t>
      </w:r>
    </w:p>
    <w:p w14:paraId="696FAC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 7718  食品安全国家标准  预包装食品标签通则</w:t>
      </w:r>
    </w:p>
    <w:p w14:paraId="381CDC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GB/T 20977  糕点通则</w:t>
      </w:r>
    </w:p>
    <w:p w14:paraId="4634FF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GB/T 22699  膨化食品质量通则</w:t>
      </w:r>
    </w:p>
    <w:p w14:paraId="7A4C0F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838" w:firstLineChars="262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GB 28050  食品安全国家标准  预包装食品营养标签通则</w:t>
      </w:r>
    </w:p>
    <w:p w14:paraId="0CAA3CC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主要技术内容的确定依据</w:t>
      </w:r>
    </w:p>
    <w:p w14:paraId="3EDE096F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关于标准适用范围</w:t>
      </w:r>
    </w:p>
    <w:p w14:paraId="6AC5E6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规定了地理标志产品蒲江米花糖的术语和定义、产地范围、原料要求、生产加工要求、质量特色、检验方法、检验规则、标志、包装、运输及贮存。</w:t>
      </w:r>
    </w:p>
    <w:p w14:paraId="1C7617B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关于标准内容框架</w:t>
      </w:r>
    </w:p>
    <w:p w14:paraId="0C98B0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根据文件的引用情况，列出了 13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项引用文件。</w:t>
      </w:r>
    </w:p>
    <w:p w14:paraId="3A9B9F41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关于术语和定义</w:t>
      </w:r>
    </w:p>
    <w:p w14:paraId="76579F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根据《质检总局关于批准对隆化大米等产品实施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地理标志产品保护的公告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》（2013 年第 184 号）修改蒲江米花糖的定义。</w:t>
      </w:r>
    </w:p>
    <w:p w14:paraId="186C9AC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default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原料要求</w:t>
      </w:r>
    </w:p>
    <w:p w14:paraId="304B7F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根据《质检总局关于批准对隆化大米等产品实施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地理标志产品保护的公告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》（2013 年第 184 号），修改了糯米、植物油、配料和水的要求。</w:t>
      </w:r>
    </w:p>
    <w:p w14:paraId="008D126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生产加工要求</w:t>
      </w:r>
    </w:p>
    <w:p w14:paraId="365156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根据《质检总局关于批准对隆化大米等产品实施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地理标志产品保护的公告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》（2013 年第 184 号），修改完善了工艺流程、膨化筛选和配料拌合的描述。（将工艺流程中“浸泡清洗”修改为“清洗浸泡”，完善了膨化筛选步骤中油炸膨化的时间，将配料拌合中的麦芽糖修改为了“饴糖”）</w:t>
      </w:r>
    </w:p>
    <w:p w14:paraId="2C6DD90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default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质量特色</w:t>
      </w:r>
    </w:p>
    <w:p w14:paraId="44BB98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将“感官指标、理化指标和微生物指标”修改为“感官特色、理化指标和安全及其他质量技术要求”，并将其内容依照公告内容进行修改。</w:t>
      </w:r>
    </w:p>
    <w:p w14:paraId="3E0BDF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与2019版的标准相比，对感官指标的描述进行了修改完善，对理化指标中脂肪的要求由“≤35.0（g/100g）”变为“≤30.0（g/100g）”，删除了“酸价、过氧化值”、“砷”、“铅”、“黄曲霉毒素B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”的指标，“微生物指标”和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致病菌指标”都并入了“安全及其他质量技术要求”中，原料和产品及其他质量技术要求必须符合国家相关规定，由于目前蒲江米花糖生产厂家申请的生产许可类别是“薯类和膨化食品”，因此污染物限量、真菌毒素限量、微生物限量等质量安全指标应符合 GB 17401-2014 《食品安全国家标准 膨化食品的要求，净含量及允差应按照《定量包装商品计量监督管理办法》执行。</w:t>
      </w:r>
    </w:p>
    <w:p w14:paraId="74B27B66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default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检验方法</w:t>
      </w:r>
    </w:p>
    <w:p w14:paraId="6B4097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规定了理化指标中水分、脂肪、总糖和筛下物的检测方法依据GB 5009.3 《食品安全国家标准  食品中水分的测定》、GB/T 5009.6 《食品安全国家标准  食品中脂肪的测定》、GB/T 20977 《糕点通则》、GB/T 22699 《膨化食品》执行，与2019版相比删除了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删除了“酸价、过氧化值”、“砷”、“铅”、“黄曲霉毒素B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”、“微生物指标”、“致病菌指标”和“净含量及允差”的检验方法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。</w:t>
      </w:r>
    </w:p>
    <w:p w14:paraId="72013371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default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检验规则</w:t>
      </w:r>
    </w:p>
    <w:p w14:paraId="4B7DB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对检验的组批、抽样、出厂检验、型式检验和判定规则的内容做了相应的要求，与2019版相比没有变化。</w:t>
      </w:r>
    </w:p>
    <w:p w14:paraId="454D3210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default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标志、包装、运输、贮存</w:t>
      </w:r>
    </w:p>
    <w:p w14:paraId="3CBD09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对标志、包装、运输和贮存做了相关要求，与2019版相比，修改了对地理标志产品保护专用标志使用的要求，要求依据《地理标志专用标志使用管理办法》执行。</w:t>
      </w:r>
    </w:p>
    <w:p w14:paraId="53E3DD7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重大意见分歧的处理</w:t>
      </w:r>
    </w:p>
    <w:p w14:paraId="7D4650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无。</w:t>
      </w:r>
    </w:p>
    <w:p w14:paraId="43DBD9E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采用国际标准情况</w:t>
      </w:r>
    </w:p>
    <w:p w14:paraId="4D65B1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经查询，目前还没有与本标准相关的国际标准。</w:t>
      </w:r>
    </w:p>
    <w:p w14:paraId="419D1D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与现行法律法规和强制性标准的关系</w:t>
      </w:r>
    </w:p>
    <w:p w14:paraId="2F6B14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本标准编写遵循了现行有关的法律法规和政策文件的规定。目前暂未出台相关的强制性标准，与国家标准、行业标准和四川省地方标准协调一致。</w:t>
      </w:r>
    </w:p>
    <w:p w14:paraId="7B22663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标准实施的建议</w:t>
      </w:r>
    </w:p>
    <w:p w14:paraId="52DA18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建议本标准过渡期为X个月，标准发布后由浦江县市场监督管理局及时对我市进行宣贯培训，推动本标准有效贯彻实施。</w:t>
      </w:r>
    </w:p>
    <w:p w14:paraId="2DDD32A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涉及专利的有关说明</w:t>
      </w:r>
    </w:p>
    <w:p w14:paraId="52AF4A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本文件不涉及专利。</w:t>
      </w:r>
    </w:p>
    <w:p w14:paraId="2983CB2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预期的经济、社会效益</w:t>
      </w:r>
    </w:p>
    <w:p w14:paraId="00F98690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经济效益</w:t>
      </w:r>
    </w:p>
    <w:p w14:paraId="0A26FA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一方面，蒲江米花糖标准化生产可保障质量的稳定性，巩固本地商超、旅游景点等销售渠道，地理标志品牌助力企业拓展其他销售途径，吸引对地域特色食品感兴趣的消费者，扩大市场规模，提高销量；另一方面，拉动上游本地原料种植业（糯米、芝麻、花生等）的需求，促进农民的增收，推动下游 包装、物流、电商配套产业发展，形成产业集群效应。</w:t>
      </w:r>
    </w:p>
    <w:p w14:paraId="0D0E9C8A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outlineLvl w:val="1"/>
        <w:rPr>
          <w:rFonts w:hint="default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社会效益</w:t>
      </w:r>
    </w:p>
    <w:p w14:paraId="517BBE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本标准对蒲江米花糖的传统配方、工艺（如炒米、熬糖等关键环节）进行规范，助力文化传承，增强文化自信；通过地理标志产品的知名度带动当地旅游业，形成“食品+文旅”的融合发展模式，带动乡村振兴。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E32214"/>
    <w:multiLevelType w:val="singleLevel"/>
    <w:tmpl w:val="B4E32214"/>
    <w:lvl w:ilvl="0" w:tentative="0">
      <w:start w:val="1"/>
      <w:numFmt w:val="chineseCounting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C873FB62"/>
    <w:multiLevelType w:val="singleLevel"/>
    <w:tmpl w:val="C873FB62"/>
    <w:lvl w:ilvl="0" w:tentative="0">
      <w:start w:val="1"/>
      <w:numFmt w:val="chineseCounting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2">
    <w:nsid w:val="EC8B574B"/>
    <w:multiLevelType w:val="singleLevel"/>
    <w:tmpl w:val="EC8B574B"/>
    <w:lvl w:ilvl="0" w:tentative="0">
      <w:start w:val="1"/>
      <w:numFmt w:val="chineseCounting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3">
    <w:nsid w:val="1F658A4D"/>
    <w:multiLevelType w:val="singleLevel"/>
    <w:tmpl w:val="1F658A4D"/>
    <w:lvl w:ilvl="0" w:tentative="0">
      <w:start w:val="1"/>
      <w:numFmt w:val="chineseCounting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4">
    <w:nsid w:val="6274C8AB"/>
    <w:multiLevelType w:val="singleLevel"/>
    <w:tmpl w:val="6274C8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7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D30F1"/>
    <w:rsid w:val="004553BC"/>
    <w:rsid w:val="012561DA"/>
    <w:rsid w:val="01DA7EEC"/>
    <w:rsid w:val="0405039B"/>
    <w:rsid w:val="049E74A4"/>
    <w:rsid w:val="049F4CB1"/>
    <w:rsid w:val="065D33D0"/>
    <w:rsid w:val="07403F24"/>
    <w:rsid w:val="080A4E9A"/>
    <w:rsid w:val="08283010"/>
    <w:rsid w:val="08436065"/>
    <w:rsid w:val="09AD0E15"/>
    <w:rsid w:val="09B74A0A"/>
    <w:rsid w:val="09E553C2"/>
    <w:rsid w:val="0A22370E"/>
    <w:rsid w:val="0AB31A61"/>
    <w:rsid w:val="0AEF7404"/>
    <w:rsid w:val="0B606357"/>
    <w:rsid w:val="0B7F5566"/>
    <w:rsid w:val="0BA9758E"/>
    <w:rsid w:val="0C604B75"/>
    <w:rsid w:val="0C665953"/>
    <w:rsid w:val="0C700D19"/>
    <w:rsid w:val="0C7A3FB3"/>
    <w:rsid w:val="0CB43F97"/>
    <w:rsid w:val="0D0D2779"/>
    <w:rsid w:val="0D45420C"/>
    <w:rsid w:val="0D7933A2"/>
    <w:rsid w:val="0DBC28B3"/>
    <w:rsid w:val="0DD07B72"/>
    <w:rsid w:val="0DD86765"/>
    <w:rsid w:val="0E295986"/>
    <w:rsid w:val="0E2F54A6"/>
    <w:rsid w:val="0E5750A8"/>
    <w:rsid w:val="0E931985"/>
    <w:rsid w:val="0EA67B3D"/>
    <w:rsid w:val="0EFB5B51"/>
    <w:rsid w:val="0F9D214F"/>
    <w:rsid w:val="10AD0C52"/>
    <w:rsid w:val="120432EF"/>
    <w:rsid w:val="126B5DB8"/>
    <w:rsid w:val="12A86704"/>
    <w:rsid w:val="13B6462B"/>
    <w:rsid w:val="154B6D86"/>
    <w:rsid w:val="15D86BCD"/>
    <w:rsid w:val="15FC04BB"/>
    <w:rsid w:val="163F4792"/>
    <w:rsid w:val="16591886"/>
    <w:rsid w:val="171E78B8"/>
    <w:rsid w:val="179E477A"/>
    <w:rsid w:val="18763787"/>
    <w:rsid w:val="18B50519"/>
    <w:rsid w:val="19A609DD"/>
    <w:rsid w:val="1A6756A6"/>
    <w:rsid w:val="1CE657B2"/>
    <w:rsid w:val="1E1416A3"/>
    <w:rsid w:val="1EF2744D"/>
    <w:rsid w:val="1F267F40"/>
    <w:rsid w:val="1F776096"/>
    <w:rsid w:val="200830AA"/>
    <w:rsid w:val="201D4676"/>
    <w:rsid w:val="20611FFB"/>
    <w:rsid w:val="20CA5E28"/>
    <w:rsid w:val="20EA3511"/>
    <w:rsid w:val="20FB77F4"/>
    <w:rsid w:val="2112179F"/>
    <w:rsid w:val="2177532E"/>
    <w:rsid w:val="220D491D"/>
    <w:rsid w:val="22565595"/>
    <w:rsid w:val="22BD0E0D"/>
    <w:rsid w:val="25C62AFA"/>
    <w:rsid w:val="25EE345B"/>
    <w:rsid w:val="25FE3EF6"/>
    <w:rsid w:val="26622F3C"/>
    <w:rsid w:val="26635FCA"/>
    <w:rsid w:val="273D182E"/>
    <w:rsid w:val="2787265F"/>
    <w:rsid w:val="283C62D4"/>
    <w:rsid w:val="29255469"/>
    <w:rsid w:val="292F2209"/>
    <w:rsid w:val="29AC40CA"/>
    <w:rsid w:val="2B2C1415"/>
    <w:rsid w:val="2B864482"/>
    <w:rsid w:val="2C4C365B"/>
    <w:rsid w:val="2CBB3287"/>
    <w:rsid w:val="2CCA225D"/>
    <w:rsid w:val="2D155828"/>
    <w:rsid w:val="2D885F32"/>
    <w:rsid w:val="2E9A0606"/>
    <w:rsid w:val="2F4F2568"/>
    <w:rsid w:val="2FA15A0A"/>
    <w:rsid w:val="2FF55910"/>
    <w:rsid w:val="2FFD1119"/>
    <w:rsid w:val="31327E7D"/>
    <w:rsid w:val="31486E38"/>
    <w:rsid w:val="322A62FC"/>
    <w:rsid w:val="32A27947"/>
    <w:rsid w:val="32AB6AAD"/>
    <w:rsid w:val="337E4C30"/>
    <w:rsid w:val="33960D96"/>
    <w:rsid w:val="35380BBF"/>
    <w:rsid w:val="359B7FE9"/>
    <w:rsid w:val="38764301"/>
    <w:rsid w:val="388C3E46"/>
    <w:rsid w:val="39387282"/>
    <w:rsid w:val="397043BE"/>
    <w:rsid w:val="397B7FBB"/>
    <w:rsid w:val="3A090FFF"/>
    <w:rsid w:val="3A660922"/>
    <w:rsid w:val="3A9657D4"/>
    <w:rsid w:val="3AFB4264"/>
    <w:rsid w:val="3CCE3AF8"/>
    <w:rsid w:val="3D462D91"/>
    <w:rsid w:val="3DA13876"/>
    <w:rsid w:val="3E3909F4"/>
    <w:rsid w:val="3E7A3D1C"/>
    <w:rsid w:val="3ECE2301"/>
    <w:rsid w:val="3F1968E1"/>
    <w:rsid w:val="3FF356E2"/>
    <w:rsid w:val="40404A21"/>
    <w:rsid w:val="41186676"/>
    <w:rsid w:val="42DB60B6"/>
    <w:rsid w:val="42E142D3"/>
    <w:rsid w:val="42E22A64"/>
    <w:rsid w:val="44B2777D"/>
    <w:rsid w:val="454B6E2F"/>
    <w:rsid w:val="458D7A99"/>
    <w:rsid w:val="45ED3B28"/>
    <w:rsid w:val="469916AE"/>
    <w:rsid w:val="476A54A0"/>
    <w:rsid w:val="477A5575"/>
    <w:rsid w:val="47B23C77"/>
    <w:rsid w:val="485908DB"/>
    <w:rsid w:val="48E1786B"/>
    <w:rsid w:val="4A022D1A"/>
    <w:rsid w:val="4AC96387"/>
    <w:rsid w:val="4B147164"/>
    <w:rsid w:val="4BB00101"/>
    <w:rsid w:val="4BD03D35"/>
    <w:rsid w:val="4EB72686"/>
    <w:rsid w:val="4F2B0CB0"/>
    <w:rsid w:val="4FD5697E"/>
    <w:rsid w:val="500B32BD"/>
    <w:rsid w:val="500D3A39"/>
    <w:rsid w:val="50517999"/>
    <w:rsid w:val="511726B7"/>
    <w:rsid w:val="51E3178B"/>
    <w:rsid w:val="531502E9"/>
    <w:rsid w:val="540036B1"/>
    <w:rsid w:val="545C1AFA"/>
    <w:rsid w:val="54A91AA1"/>
    <w:rsid w:val="54EC2CD3"/>
    <w:rsid w:val="552D30F1"/>
    <w:rsid w:val="56C14D15"/>
    <w:rsid w:val="56D5703F"/>
    <w:rsid w:val="599A52F9"/>
    <w:rsid w:val="5A992F78"/>
    <w:rsid w:val="5C725E8F"/>
    <w:rsid w:val="5D3517BC"/>
    <w:rsid w:val="5F4722E9"/>
    <w:rsid w:val="61AF7D17"/>
    <w:rsid w:val="61D57533"/>
    <w:rsid w:val="6234385A"/>
    <w:rsid w:val="627F7B54"/>
    <w:rsid w:val="62F861AE"/>
    <w:rsid w:val="632B2B72"/>
    <w:rsid w:val="6344534F"/>
    <w:rsid w:val="64B15D9D"/>
    <w:rsid w:val="65181D75"/>
    <w:rsid w:val="653F727C"/>
    <w:rsid w:val="65D14FC6"/>
    <w:rsid w:val="66A90E51"/>
    <w:rsid w:val="674C3DC6"/>
    <w:rsid w:val="677C595A"/>
    <w:rsid w:val="678E3FDB"/>
    <w:rsid w:val="67B304E1"/>
    <w:rsid w:val="680D1D06"/>
    <w:rsid w:val="68177AC3"/>
    <w:rsid w:val="6885118C"/>
    <w:rsid w:val="695527AD"/>
    <w:rsid w:val="6998495B"/>
    <w:rsid w:val="69DB5194"/>
    <w:rsid w:val="6A0867DE"/>
    <w:rsid w:val="6B5755D4"/>
    <w:rsid w:val="6B9A1FB7"/>
    <w:rsid w:val="6BD70136"/>
    <w:rsid w:val="6CCC23DE"/>
    <w:rsid w:val="6CE17150"/>
    <w:rsid w:val="6D037ECC"/>
    <w:rsid w:val="6D3770E6"/>
    <w:rsid w:val="6DF96341"/>
    <w:rsid w:val="6E1F211B"/>
    <w:rsid w:val="6E6F7570"/>
    <w:rsid w:val="6EE500E5"/>
    <w:rsid w:val="6F7A5230"/>
    <w:rsid w:val="6FD23704"/>
    <w:rsid w:val="70812C4E"/>
    <w:rsid w:val="70A66F0F"/>
    <w:rsid w:val="70D45384"/>
    <w:rsid w:val="71967579"/>
    <w:rsid w:val="72720D9D"/>
    <w:rsid w:val="737B15D0"/>
    <w:rsid w:val="73970C30"/>
    <w:rsid w:val="73CB045A"/>
    <w:rsid w:val="73FA73A9"/>
    <w:rsid w:val="75447B61"/>
    <w:rsid w:val="754F0125"/>
    <w:rsid w:val="75A6377C"/>
    <w:rsid w:val="76A07FF9"/>
    <w:rsid w:val="76E3047B"/>
    <w:rsid w:val="770F057A"/>
    <w:rsid w:val="77BF70C8"/>
    <w:rsid w:val="77CC088F"/>
    <w:rsid w:val="78A05425"/>
    <w:rsid w:val="78B1266F"/>
    <w:rsid w:val="7915282B"/>
    <w:rsid w:val="79E92CC0"/>
    <w:rsid w:val="7A18215A"/>
    <w:rsid w:val="7A23639F"/>
    <w:rsid w:val="7ADB2ED2"/>
    <w:rsid w:val="7AE86867"/>
    <w:rsid w:val="7AF95C29"/>
    <w:rsid w:val="7C23368A"/>
    <w:rsid w:val="7E4D6958"/>
    <w:rsid w:val="7E833F48"/>
    <w:rsid w:val="7E990366"/>
    <w:rsid w:val="7EED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0.0"/>
    <w:basedOn w:val="7"/>
    <w:next w:val="8"/>
    <w:qFormat/>
    <w:uiPriority w:val="0"/>
    <w:pPr>
      <w:numPr>
        <w:ilvl w:val="2"/>
      </w:numPr>
      <w:spacing w:before="50" w:beforeLines="50" w:after="50" w:afterLines="50"/>
      <w:outlineLvl w:val="1"/>
    </w:pPr>
    <w:rPr>
      <w:rFonts w:ascii="黑体" w:hAnsi="黑体" w:eastAsia="黑体"/>
    </w:rPr>
  </w:style>
  <w:style w:type="paragraph" w:customStyle="1" w:styleId="7">
    <w:name w:val="标准文件_章标题"/>
    <w:next w:val="8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术语条一"/>
    <w:basedOn w:val="10"/>
    <w:next w:val="8"/>
    <w:qFormat/>
    <w:uiPriority w:val="0"/>
  </w:style>
  <w:style w:type="paragraph" w:customStyle="1" w:styleId="10">
    <w:name w:val="标准文件_一级无标题"/>
    <w:basedOn w:val="11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1">
    <w:name w:val="标准文件_一级条标题"/>
    <w:basedOn w:val="7"/>
    <w:next w:val="8"/>
    <w:qFormat/>
    <w:uiPriority w:val="0"/>
    <w:pPr>
      <w:numPr>
        <w:ilvl w:val="2"/>
      </w:numPr>
      <w:spacing w:before="50" w:beforeLines="50" w:after="50" w:afterLines="50"/>
      <w:outlineLvl w:val="1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2811</Words>
  <Characters>3037</Characters>
  <Lines>0</Lines>
  <Paragraphs>0</Paragraphs>
  <TotalTime>33</TotalTime>
  <ScaleCrop>false</ScaleCrop>
  <LinksUpToDate>false</LinksUpToDate>
  <CharactersWithSpaces>3145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2025-01-15T07:05:00Z</dcterms:created>
  <dc:creator>TKD</dc:creator>
  <cp:lastModifiedBy>TKD</cp:lastModifiedBy>
  <dcterms:modified xsi:type="dcterms:W3CDTF">2025-06-18T02:04:45Z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48A2334DF27F4C00A63D8D44DF5124E4_13</vt:lpwstr>
  </property>
  <property fmtid="{D5CDD505-2E9C-101B-9397-08002B2CF9AE}" pid="4" name="KSOTemplateDocerSaveRecord">
    <vt:lpwstr>eyJoZGlkIjoiMDk2NWY5MmY1ZWVkMGFiN2ZlZjAyMTRmMTJiMzgzMmMiLCJ1c2VySWQiOiI1NDcwNjAzMzEifQ==</vt:lpwstr>
  </property>
</Properties>
</file>